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0CA64" w14:textId="77777777" w:rsidR="008F76F3" w:rsidRPr="001642AC" w:rsidRDefault="008F76F3" w:rsidP="008F76F3">
      <w:pPr>
        <w:spacing w:after="0" w:line="276" w:lineRule="auto"/>
        <w:jc w:val="center"/>
        <w:rPr>
          <w:rFonts w:cs="Tahoma"/>
          <w:b/>
          <w:szCs w:val="18"/>
        </w:rPr>
      </w:pPr>
      <w:r w:rsidRPr="001642AC">
        <w:rPr>
          <w:rFonts w:cs="Tahoma"/>
          <w:b/>
          <w:szCs w:val="18"/>
        </w:rPr>
        <w:t xml:space="preserve">ESTUDO TÉCNICO PRELIMINAR </w:t>
      </w:r>
    </w:p>
    <w:p w14:paraId="1C9A8B45" w14:textId="77777777" w:rsidR="008F76F3" w:rsidRPr="001642AC" w:rsidRDefault="008F76F3" w:rsidP="001642AC">
      <w:pPr>
        <w:spacing w:after="0" w:line="276" w:lineRule="auto"/>
        <w:ind w:firstLine="0"/>
        <w:rPr>
          <w:rFonts w:cs="Tahoma"/>
          <w:sz w:val="20"/>
          <w:szCs w:val="20"/>
        </w:rPr>
      </w:pPr>
    </w:p>
    <w:tbl>
      <w:tblPr>
        <w:tblStyle w:val="Tabelacomgrade"/>
        <w:tblW w:w="10206" w:type="dxa"/>
        <w:tblLook w:val="04A0" w:firstRow="1" w:lastRow="0" w:firstColumn="1" w:lastColumn="0" w:noHBand="0" w:noVBand="1"/>
      </w:tblPr>
      <w:tblGrid>
        <w:gridCol w:w="10569"/>
      </w:tblGrid>
      <w:tr w:rsidR="008F76F3" w:rsidRPr="001642AC" w14:paraId="0D68AE69" w14:textId="77777777" w:rsidTr="0025321B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1CA8A904" w14:textId="4DD6EF3D" w:rsidR="008F76F3" w:rsidRPr="001642AC" w:rsidRDefault="008F76F3" w:rsidP="0036555F">
            <w:pPr>
              <w:spacing w:line="276" w:lineRule="auto"/>
              <w:ind w:firstLine="0"/>
              <w:rPr>
                <w:rFonts w:cs="Tahoma"/>
                <w:b/>
                <w:sz w:val="16"/>
                <w:szCs w:val="16"/>
              </w:rPr>
            </w:pPr>
            <w:r w:rsidRPr="001642AC">
              <w:rPr>
                <w:rFonts w:cs="Tahoma"/>
                <w:b/>
                <w:sz w:val="16"/>
                <w:szCs w:val="16"/>
              </w:rPr>
              <w:t xml:space="preserve">Secretaria requisitante: </w:t>
            </w:r>
            <w:r w:rsidRPr="001642AC">
              <w:rPr>
                <w:rFonts w:cs="Tahoma"/>
                <w:sz w:val="16"/>
                <w:szCs w:val="16"/>
              </w:rPr>
              <w:t xml:space="preserve">Secretaria Municipal de </w:t>
            </w:r>
            <w:r w:rsidR="003D272C">
              <w:rPr>
                <w:rFonts w:cs="Tahoma"/>
                <w:sz w:val="16"/>
                <w:szCs w:val="16"/>
              </w:rPr>
              <w:t>Obras e Mobilidade Urbana – SMOMU</w:t>
            </w:r>
          </w:p>
        </w:tc>
      </w:tr>
      <w:tr w:rsidR="008F76F3" w:rsidRPr="001642AC" w14:paraId="5EBF3E6C" w14:textId="77777777" w:rsidTr="0025321B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506C1DC7" w14:textId="07C57588" w:rsidR="008F76F3" w:rsidRPr="001642AC" w:rsidRDefault="008F76F3" w:rsidP="0036555F">
            <w:pPr>
              <w:spacing w:line="276" w:lineRule="auto"/>
              <w:ind w:firstLine="0"/>
              <w:rPr>
                <w:rFonts w:cs="Tahoma"/>
                <w:b/>
                <w:sz w:val="16"/>
                <w:szCs w:val="16"/>
              </w:rPr>
            </w:pPr>
            <w:r w:rsidRPr="001642AC">
              <w:rPr>
                <w:rFonts w:cs="Tahoma"/>
                <w:b/>
                <w:sz w:val="16"/>
                <w:szCs w:val="16"/>
              </w:rPr>
              <w:t xml:space="preserve">Servidor(es) e/ou Secretário responsável pela elaboração: </w:t>
            </w:r>
            <w:r w:rsidR="003D272C">
              <w:rPr>
                <w:rFonts w:cs="Tahoma"/>
                <w:bCs/>
                <w:sz w:val="16"/>
                <w:szCs w:val="16"/>
              </w:rPr>
              <w:t xml:space="preserve">Clovis </w:t>
            </w:r>
            <w:proofErr w:type="spellStart"/>
            <w:r w:rsidR="003D272C">
              <w:rPr>
                <w:rFonts w:cs="Tahoma"/>
                <w:bCs/>
                <w:sz w:val="16"/>
                <w:szCs w:val="16"/>
              </w:rPr>
              <w:t>Spellmeier</w:t>
            </w:r>
            <w:proofErr w:type="spellEnd"/>
          </w:p>
        </w:tc>
      </w:tr>
      <w:tr w:rsidR="008F76F3" w:rsidRPr="001642AC" w14:paraId="58FCAF88" w14:textId="77777777" w:rsidTr="0025321B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678E4BBE" w14:textId="77777777" w:rsidR="008F76F3" w:rsidRPr="001642AC" w:rsidRDefault="008F76F3" w:rsidP="001642AC">
            <w:pPr>
              <w:spacing w:line="276" w:lineRule="auto"/>
              <w:ind w:firstLine="0"/>
              <w:rPr>
                <w:rFonts w:cs="Tahoma"/>
                <w:b/>
                <w:sz w:val="20"/>
                <w:szCs w:val="20"/>
              </w:rPr>
            </w:pPr>
          </w:p>
        </w:tc>
      </w:tr>
      <w:tr w:rsidR="008F76F3" w:rsidRPr="001642AC" w14:paraId="3DD24274" w14:textId="77777777" w:rsidTr="0025321B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1BF269D1" w14:textId="77777777" w:rsidR="008F76F3" w:rsidRPr="001642AC" w:rsidRDefault="008F76F3" w:rsidP="0036555F">
            <w:pPr>
              <w:spacing w:line="276" w:lineRule="auto"/>
              <w:ind w:firstLine="0"/>
              <w:rPr>
                <w:rFonts w:cs="Tahoma"/>
                <w:b/>
                <w:sz w:val="20"/>
                <w:szCs w:val="20"/>
              </w:rPr>
            </w:pPr>
            <w:r w:rsidRPr="001642AC">
              <w:rPr>
                <w:rFonts w:cs="Tahoma"/>
                <w:b/>
                <w:sz w:val="20"/>
                <w:szCs w:val="20"/>
              </w:rPr>
              <w:t>1 - DESCRIÇÃO DA NECESSIDADE</w:t>
            </w:r>
          </w:p>
        </w:tc>
      </w:tr>
      <w:tr w:rsidR="008F76F3" w:rsidRPr="001642AC" w14:paraId="7549A9A5" w14:textId="77777777" w:rsidTr="0025321B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64C3993" w14:textId="77777777" w:rsidR="008F76F3" w:rsidRPr="001642AC" w:rsidRDefault="008F76F3" w:rsidP="0036555F">
            <w:pPr>
              <w:spacing w:line="276" w:lineRule="auto"/>
              <w:ind w:firstLine="0"/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Descrição da necessidade da contratação, considerado o problema a ser resolvido sob a perspectiva do interesse público (inciso I do § 1° do art. 18 da Lei 14.133/2021);</w:t>
            </w:r>
            <w:r w:rsidRPr="001642AC"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</w:tr>
      <w:tr w:rsidR="008F76F3" w:rsidRPr="001642AC" w14:paraId="77F24F0B" w14:textId="77777777" w:rsidTr="002532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</w:tcPr>
          <w:p w14:paraId="74C4C3E5" w14:textId="1C5CBB20" w:rsidR="00693375" w:rsidRPr="003D272C" w:rsidRDefault="003D272C" w:rsidP="003D272C">
            <w:pPr>
              <w:tabs>
                <w:tab w:val="left" w:pos="915"/>
              </w:tabs>
              <w:spacing w:line="276" w:lineRule="auto"/>
              <w:ind w:firstLine="0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3D272C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Contratação de empresa para execução de reestabelecimento da Rua Mário Lindner, com recursos da Defesa Civil Federal, por meio do sistema S2iD - PROTOCOLO S2iD RES-RS-4310363-20240620-10.</w:t>
            </w:r>
            <w:r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cs="Tahoma"/>
                <w:sz w:val="16"/>
                <w:szCs w:val="16"/>
              </w:rPr>
              <w:t xml:space="preserve">Após análise técnica do Setor de Engenharia constatou-se que é de extrema necessidade o restabelecimento da Rua Mário Lindner, com recurso proveniente da Defesa Civil Nacional, conforme protocolo </w:t>
            </w:r>
            <w:r w:rsidRPr="00AD2653">
              <w:rPr>
                <w:rFonts w:cs="Tahoma"/>
                <w:b/>
                <w:sz w:val="16"/>
                <w:szCs w:val="16"/>
              </w:rPr>
              <w:t>RES-RS-4310363-20240620-10</w:t>
            </w:r>
            <w:r>
              <w:rPr>
                <w:rFonts w:cs="Tahoma"/>
                <w:b/>
                <w:sz w:val="16"/>
                <w:szCs w:val="16"/>
              </w:rPr>
              <w:t xml:space="preserve">. </w:t>
            </w:r>
            <w:r>
              <w:rPr>
                <w:rFonts w:cs="Tahoma"/>
                <w:sz w:val="16"/>
                <w:szCs w:val="16"/>
              </w:rPr>
              <w:t>Indica-se a contratação de empresa, já que o município não possui pessoal qualificado para suprir a demanda e o trecho precisa ser recuperado o mais breve possível, como forma de garantir segurança e bem-estar aos munícipes e usuários.</w:t>
            </w:r>
          </w:p>
          <w:p w14:paraId="0E5DB0B4" w14:textId="77777777" w:rsidR="003D272C" w:rsidRDefault="003D272C" w:rsidP="0036555F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  <w:p w14:paraId="26828342" w14:textId="0A803D85" w:rsidR="008F76F3" w:rsidRPr="001642AC" w:rsidRDefault="0036555F" w:rsidP="0036555F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2 </w:t>
            </w:r>
            <w:r w:rsidR="008F76F3"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– ESTIMATIVA DAS QUANTIDADES</w:t>
            </w:r>
          </w:p>
        </w:tc>
      </w:tr>
      <w:tr w:rsidR="008F76F3" w:rsidRPr="001642AC" w14:paraId="1D789878" w14:textId="77777777" w:rsidTr="002532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  <w:shd w:val="clear" w:color="auto" w:fill="F2F2F2" w:themeFill="background1" w:themeFillShade="F2"/>
          </w:tcPr>
          <w:p w14:paraId="25CF518F" w14:textId="77777777" w:rsidR="008F76F3" w:rsidRPr="001642AC" w:rsidRDefault="008F76F3" w:rsidP="0036555F">
            <w:pPr>
              <w:spacing w:line="276" w:lineRule="auto"/>
              <w:ind w:firstLine="0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Fundamentação</w:t>
            </w:r>
            <w:r w:rsidRPr="001642AC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: 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Estimativa das quantidades a serem contratadas, 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u w:val="single"/>
                <w:lang w:eastAsia="pt-BR"/>
              </w:rPr>
              <w:t>acompanhada das memórias de cálculo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e dos documentos que lhe dão suporte, considerando a interdependência com outras contratações, de modo a possibilitar economia de escala (inciso IV do § 1° do art. 18 da Lei 14.133/21); </w:t>
            </w:r>
          </w:p>
        </w:tc>
      </w:tr>
      <w:tr w:rsidR="008F76F3" w:rsidRPr="001642AC" w14:paraId="47CF1596" w14:textId="77777777" w:rsidTr="002532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10206" w:type="dxa"/>
          </w:tcPr>
          <w:tbl>
            <w:tblPr>
              <w:tblW w:w="103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7"/>
              <w:gridCol w:w="7488"/>
              <w:gridCol w:w="567"/>
              <w:gridCol w:w="566"/>
              <w:gridCol w:w="1415"/>
            </w:tblGrid>
            <w:tr w:rsidR="003D272C" w:rsidRPr="003C3C21" w14:paraId="69E97B1C" w14:textId="77777777" w:rsidTr="006D030B">
              <w:trPr>
                <w:trHeight w:val="258"/>
              </w:trPr>
              <w:tc>
                <w:tcPr>
                  <w:tcW w:w="279" w:type="dxa"/>
                  <w:shd w:val="clear" w:color="auto" w:fill="F2F2F2" w:themeFill="background1" w:themeFillShade="F2"/>
                  <w:vAlign w:val="center"/>
                </w:tcPr>
                <w:p w14:paraId="69881AB7" w14:textId="77777777" w:rsidR="003D272C" w:rsidRPr="00E770A2" w:rsidRDefault="003D272C" w:rsidP="003D272C">
                  <w:pPr>
                    <w:ind w:left="-120" w:right="-102"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bookmarkStart w:id="0" w:name="_Hlk170807473"/>
                  <w:r w:rsidRPr="00E770A2">
                    <w:rPr>
                      <w:rFonts w:cs="Tahoma"/>
                      <w:b/>
                      <w:bCs/>
                      <w:sz w:val="16"/>
                      <w:szCs w:val="16"/>
                    </w:rPr>
                    <w:t>Nº</w:t>
                  </w:r>
                </w:p>
              </w:tc>
              <w:tc>
                <w:tcPr>
                  <w:tcW w:w="7513" w:type="dxa"/>
                  <w:shd w:val="clear" w:color="auto" w:fill="F2F2F2" w:themeFill="background1" w:themeFillShade="F2"/>
                  <w:vAlign w:val="center"/>
                </w:tcPr>
                <w:p w14:paraId="2575C536" w14:textId="77777777" w:rsidR="003D272C" w:rsidRPr="003C3C21" w:rsidRDefault="003D272C" w:rsidP="003D272C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3C3C21">
                    <w:rPr>
                      <w:rFonts w:cs="Tahoma"/>
                      <w:b/>
                      <w:bCs/>
                      <w:sz w:val="16"/>
                      <w:szCs w:val="16"/>
                    </w:rPr>
                    <w:t>Descrição do Item</w:t>
                  </w:r>
                </w:p>
              </w:tc>
              <w:tc>
                <w:tcPr>
                  <w:tcW w:w="567" w:type="dxa"/>
                  <w:shd w:val="clear" w:color="auto" w:fill="F2F2F2" w:themeFill="background1" w:themeFillShade="F2"/>
                  <w:vAlign w:val="center"/>
                </w:tcPr>
                <w:p w14:paraId="321B5D38" w14:textId="77777777" w:rsidR="003D272C" w:rsidRPr="003C3C21" w:rsidRDefault="003D272C" w:rsidP="003D272C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3C3C21">
                    <w:rPr>
                      <w:rFonts w:cs="Tahoma"/>
                      <w:b/>
                      <w:bCs/>
                      <w:sz w:val="16"/>
                      <w:szCs w:val="16"/>
                    </w:rPr>
                    <w:t>Qtd.</w:t>
                  </w:r>
                </w:p>
              </w:tc>
              <w:tc>
                <w:tcPr>
                  <w:tcW w:w="567" w:type="dxa"/>
                  <w:shd w:val="clear" w:color="auto" w:fill="F2F2F2" w:themeFill="background1" w:themeFillShade="F2"/>
                  <w:vAlign w:val="center"/>
                </w:tcPr>
                <w:p w14:paraId="5ED3F473" w14:textId="77777777" w:rsidR="003D272C" w:rsidRPr="003C3C21" w:rsidRDefault="003D272C" w:rsidP="003D272C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3C3C21">
                    <w:rPr>
                      <w:rFonts w:cs="Tahoma"/>
                      <w:b/>
                      <w:bCs/>
                      <w:sz w:val="16"/>
                      <w:szCs w:val="16"/>
                    </w:rPr>
                    <w:t>Un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14:paraId="0455C815" w14:textId="77777777" w:rsidR="003D272C" w:rsidRPr="00457E07" w:rsidRDefault="003D272C" w:rsidP="003D272C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457E07">
                    <w:rPr>
                      <w:rFonts w:cs="Tahoma"/>
                      <w:b/>
                      <w:bCs/>
                      <w:sz w:val="16"/>
                      <w:szCs w:val="16"/>
                    </w:rPr>
                    <w:t>Preço Total</w:t>
                  </w:r>
                  <w:r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3D272C" w:rsidRPr="003C3C21" w14:paraId="72CF79A9" w14:textId="77777777" w:rsidTr="006D030B">
              <w:trPr>
                <w:trHeight w:val="135"/>
              </w:trPr>
              <w:tc>
                <w:tcPr>
                  <w:tcW w:w="279" w:type="dxa"/>
                  <w:shd w:val="clear" w:color="auto" w:fill="auto"/>
                  <w:vAlign w:val="center"/>
                </w:tcPr>
                <w:p w14:paraId="3D24C4D4" w14:textId="77777777" w:rsidR="003D272C" w:rsidRPr="00273D75" w:rsidRDefault="003D272C" w:rsidP="003D272C">
                  <w:pPr>
                    <w:ind w:left="-120" w:right="-104"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</w:p>
                <w:p w14:paraId="469FC2D2" w14:textId="77777777" w:rsidR="003D272C" w:rsidRPr="00273D75" w:rsidRDefault="003D272C" w:rsidP="003D272C">
                  <w:pPr>
                    <w:ind w:left="-120" w:right="-104"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73D75">
                    <w:rPr>
                      <w:rFonts w:cs="Tahoma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513" w:type="dxa"/>
                  <w:shd w:val="clear" w:color="auto" w:fill="auto"/>
                  <w:vAlign w:val="center"/>
                </w:tcPr>
                <w:p w14:paraId="7A01C8E7" w14:textId="77777777" w:rsidR="003D272C" w:rsidRPr="00300403" w:rsidRDefault="003D272C" w:rsidP="003D272C">
                  <w:pPr>
                    <w:pStyle w:val="Default"/>
                    <w:jc w:val="both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AD2653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RESTABELECIMENTO DA RUA MÁRIO LINDNER – RECURSO DEFESA CIVIL </w:t>
                  </w: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FEDERAL </w:t>
                  </w:r>
                  <w:r w:rsidRPr="00AD2653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(PROTOCOLO RES-RS-4310363-20240620-10)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31854539" w14:textId="77777777" w:rsidR="003D272C" w:rsidRPr="003C3C21" w:rsidRDefault="003D272C" w:rsidP="003D272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0BD668F" w14:textId="77777777" w:rsidR="003D272C" w:rsidRPr="003C3C21" w:rsidRDefault="003D272C" w:rsidP="003D272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>
                    <w:rPr>
                      <w:rFonts w:cs="Tahoma"/>
                      <w:sz w:val="16"/>
                      <w:szCs w:val="16"/>
                    </w:rPr>
                    <w:t>UN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5D146765" w14:textId="77777777" w:rsidR="003D272C" w:rsidRPr="000361B8" w:rsidRDefault="003D272C" w:rsidP="003D272C">
                  <w:pPr>
                    <w:ind w:firstLine="0"/>
                    <w:jc w:val="left"/>
                    <w:rPr>
                      <w:rFonts w:cs="Tahoma"/>
                      <w:b/>
                      <w:sz w:val="16"/>
                      <w:szCs w:val="16"/>
                    </w:rPr>
                  </w:pPr>
                  <w:r>
                    <w:rPr>
                      <w:rFonts w:cs="Tahoma"/>
                      <w:b/>
                      <w:sz w:val="16"/>
                      <w:szCs w:val="16"/>
                    </w:rPr>
                    <w:t>R$ 27.947,76</w:t>
                  </w:r>
                </w:p>
              </w:tc>
            </w:tr>
            <w:bookmarkEnd w:id="0"/>
          </w:tbl>
          <w:p w14:paraId="0F2CE162" w14:textId="6FE5AB12" w:rsidR="003D272C" w:rsidRPr="001642AC" w:rsidRDefault="003D272C" w:rsidP="001642AC">
            <w:pPr>
              <w:spacing w:line="276" w:lineRule="auto"/>
              <w:ind w:firstLine="0"/>
              <w:rPr>
                <w:rFonts w:eastAsia="Times New Roman" w:cs="Tahoma"/>
                <w:iCs/>
                <w:sz w:val="20"/>
                <w:szCs w:val="20"/>
                <w:lang w:eastAsia="pt-BR"/>
              </w:rPr>
            </w:pPr>
          </w:p>
        </w:tc>
      </w:tr>
    </w:tbl>
    <w:p w14:paraId="59987E27" w14:textId="78ACC102" w:rsidR="001642AC" w:rsidRPr="003D272C" w:rsidRDefault="003D272C" w:rsidP="003D272C">
      <w:pPr>
        <w:ind w:left="284" w:firstLine="0"/>
        <w:rPr>
          <w:sz w:val="16"/>
          <w:szCs w:val="16"/>
        </w:rPr>
      </w:pPr>
      <w:proofErr w:type="spellStart"/>
      <w:proofErr w:type="gramStart"/>
      <w:r w:rsidRPr="003D272C">
        <w:rPr>
          <w:sz w:val="16"/>
          <w:szCs w:val="16"/>
        </w:rPr>
        <w:t>Obs</w:t>
      </w:r>
      <w:proofErr w:type="spellEnd"/>
      <w:r w:rsidRPr="003D272C">
        <w:rPr>
          <w:sz w:val="16"/>
          <w:szCs w:val="16"/>
        </w:rPr>
        <w:t>:.</w:t>
      </w:r>
      <w:proofErr w:type="gramEnd"/>
      <w:r w:rsidRPr="003D272C">
        <w:rPr>
          <w:sz w:val="16"/>
          <w:szCs w:val="16"/>
        </w:rPr>
        <w:t xml:space="preserve"> Demais quantitativos de itens seguem na planilha orçamentária SINAPI em anexo ao processo administrativo. </w:t>
      </w:r>
    </w:p>
    <w:p w14:paraId="01A93B27" w14:textId="77777777" w:rsidR="003D272C" w:rsidRDefault="003D272C" w:rsidP="00693375">
      <w:pPr>
        <w:ind w:firstLine="0"/>
      </w:pPr>
    </w:p>
    <w:tbl>
      <w:tblPr>
        <w:tblStyle w:val="Tabelacomgrade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8F76F3" w:rsidRPr="001642AC" w14:paraId="1EE56F1B" w14:textId="77777777" w:rsidTr="001642AC">
        <w:tc>
          <w:tcPr>
            <w:tcW w:w="10206" w:type="dxa"/>
          </w:tcPr>
          <w:p w14:paraId="7C09CC09" w14:textId="19C299F1" w:rsidR="008F76F3" w:rsidRPr="001642AC" w:rsidRDefault="0036555F" w:rsidP="0036555F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3</w:t>
            </w:r>
            <w:r w:rsidR="008F76F3"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 – ESTIMATIVA DO VALOR DA CONTRATAÇÃO</w:t>
            </w:r>
          </w:p>
        </w:tc>
      </w:tr>
      <w:tr w:rsidR="008F76F3" w:rsidRPr="001642AC" w14:paraId="64A3B4E9" w14:textId="77777777" w:rsidTr="001642AC">
        <w:tc>
          <w:tcPr>
            <w:tcW w:w="10206" w:type="dxa"/>
            <w:shd w:val="clear" w:color="auto" w:fill="F2F2F2" w:themeFill="background1" w:themeFillShade="F2"/>
          </w:tcPr>
          <w:p w14:paraId="62E41FC5" w14:textId="77777777" w:rsidR="008F76F3" w:rsidRPr="001642AC" w:rsidRDefault="008F76F3" w:rsidP="0036555F">
            <w:pPr>
              <w:spacing w:line="276" w:lineRule="auto"/>
              <w:ind w:firstLine="0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Fundamentação</w:t>
            </w:r>
            <w:r w:rsidRPr="001642AC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: 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Estimativa do valor da contratação, 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u w:val="single"/>
                <w:lang w:eastAsia="pt-BR"/>
              </w:rPr>
              <w:t>acompanhada dos preços unitários referenciais, das memórias de cálculo e dos documentos que lhe dão suporte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, que poderão constar de anexo classificado, se a administração optar por preservar o seu sigilo até a conclusão da licitação (inciso VI do § 1° da Lei 14.133/21);</w:t>
            </w:r>
          </w:p>
        </w:tc>
      </w:tr>
      <w:tr w:rsidR="008F76F3" w:rsidRPr="001642AC" w14:paraId="42BE0386" w14:textId="77777777" w:rsidTr="007E7B24">
        <w:trPr>
          <w:trHeight w:val="388"/>
        </w:trPr>
        <w:tc>
          <w:tcPr>
            <w:tcW w:w="10206" w:type="dxa"/>
          </w:tcPr>
          <w:p w14:paraId="77604182" w14:textId="25058174" w:rsidR="003D272C" w:rsidRPr="003D272C" w:rsidRDefault="003D272C" w:rsidP="001642AC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3D272C">
              <w:rPr>
                <w:rFonts w:cs="Tahoma"/>
                <w:sz w:val="16"/>
                <w:szCs w:val="16"/>
              </w:rPr>
              <w:t>A estimativa de valor da contratação é de R$ 27.947,76 (vinte e sete mil, novecentos e quarenta e sete reais e setenta e seis centavos), com base no sistema SINAPI.</w:t>
            </w:r>
          </w:p>
        </w:tc>
      </w:tr>
    </w:tbl>
    <w:p w14:paraId="0E9A09B8" w14:textId="77777777" w:rsidR="008F76F3" w:rsidRPr="001642AC" w:rsidRDefault="008F76F3" w:rsidP="008F76F3">
      <w:pPr>
        <w:spacing w:after="0" w:line="276" w:lineRule="auto"/>
        <w:rPr>
          <w:rFonts w:cs="Tahoma"/>
          <w:b/>
          <w:sz w:val="20"/>
          <w:szCs w:val="20"/>
        </w:rPr>
      </w:pPr>
    </w:p>
    <w:tbl>
      <w:tblPr>
        <w:tblStyle w:val="Tabelacomgrade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8F76F3" w:rsidRPr="001642AC" w14:paraId="1EC6909D" w14:textId="77777777" w:rsidTr="00F628D6">
        <w:tc>
          <w:tcPr>
            <w:tcW w:w="10201" w:type="dxa"/>
          </w:tcPr>
          <w:p w14:paraId="6F6C09F3" w14:textId="032D7454" w:rsidR="008F76F3" w:rsidRPr="001642AC" w:rsidRDefault="0036555F" w:rsidP="0036555F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4</w:t>
            </w:r>
            <w:r w:rsidR="008F76F3"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 – JUSTIFICATIVA PARA PARCELAMENTO</w:t>
            </w:r>
          </w:p>
        </w:tc>
      </w:tr>
      <w:tr w:rsidR="008F76F3" w:rsidRPr="001642AC" w14:paraId="09D7985E" w14:textId="77777777" w:rsidTr="00F628D6">
        <w:tc>
          <w:tcPr>
            <w:tcW w:w="10201" w:type="dxa"/>
            <w:shd w:val="clear" w:color="auto" w:fill="F2F2F2" w:themeFill="background1" w:themeFillShade="F2"/>
          </w:tcPr>
          <w:p w14:paraId="42A688B6" w14:textId="77777777" w:rsidR="008F76F3" w:rsidRPr="001642AC" w:rsidRDefault="008F76F3" w:rsidP="0036555F">
            <w:pPr>
              <w:spacing w:line="276" w:lineRule="auto"/>
              <w:ind w:firstLine="0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Fundamentação</w:t>
            </w:r>
            <w:r w:rsidRPr="001642AC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: 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Justificativas para o parcelamento ou não da contratação (inciso VIII do § 1° do art. 18 da Lei 14.133/21); </w:t>
            </w:r>
          </w:p>
        </w:tc>
      </w:tr>
      <w:tr w:rsidR="008F76F3" w:rsidRPr="001642AC" w14:paraId="3E75C34B" w14:textId="77777777" w:rsidTr="00F628D6">
        <w:tc>
          <w:tcPr>
            <w:tcW w:w="10201" w:type="dxa"/>
          </w:tcPr>
          <w:p w14:paraId="75FD80D1" w14:textId="2FA45E34" w:rsidR="0036555F" w:rsidRPr="003D272C" w:rsidRDefault="003D272C" w:rsidP="00693375">
            <w:pPr>
              <w:spacing w:line="276" w:lineRule="auto"/>
              <w:ind w:firstLine="37"/>
              <w:rPr>
                <w:rFonts w:cs="Tahoma"/>
                <w:iCs/>
                <w:sz w:val="16"/>
                <w:szCs w:val="16"/>
              </w:rPr>
            </w:pPr>
            <w:r w:rsidRPr="003D272C">
              <w:rPr>
                <w:rFonts w:cs="Tahoma"/>
                <w:iCs/>
                <w:sz w:val="16"/>
                <w:szCs w:val="16"/>
              </w:rPr>
              <w:t xml:space="preserve">A realização do presente processo licitatório deverá seguir como critério o menor preço global, tendo em vista a empreitada global da obra. </w:t>
            </w:r>
          </w:p>
          <w:p w14:paraId="2EFD175B" w14:textId="63DF2985" w:rsidR="003D272C" w:rsidRPr="001642AC" w:rsidRDefault="003D272C" w:rsidP="00693375">
            <w:pPr>
              <w:spacing w:line="276" w:lineRule="auto"/>
              <w:ind w:firstLine="37"/>
              <w:rPr>
                <w:rFonts w:cs="Tahoma"/>
                <w:iCs/>
                <w:sz w:val="20"/>
                <w:szCs w:val="20"/>
              </w:rPr>
            </w:pPr>
          </w:p>
        </w:tc>
      </w:tr>
      <w:tr w:rsidR="008F76F3" w:rsidRPr="001642AC" w14:paraId="1DAC76C7" w14:textId="77777777" w:rsidTr="00F628D6">
        <w:tc>
          <w:tcPr>
            <w:tcW w:w="10201" w:type="dxa"/>
          </w:tcPr>
          <w:p w14:paraId="74ACA114" w14:textId="61830944" w:rsidR="008F76F3" w:rsidRPr="001642AC" w:rsidRDefault="0036555F" w:rsidP="0036555F">
            <w:pPr>
              <w:spacing w:line="276" w:lineRule="auto"/>
              <w:ind w:firstLine="0"/>
              <w:rPr>
                <w:rFonts w:cs="Tahoma"/>
                <w:b/>
                <w:sz w:val="20"/>
                <w:szCs w:val="20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5 </w:t>
            </w:r>
            <w:r w:rsidR="008F76F3"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– VIABILIDADE DA CONTRATAÇÃO</w:t>
            </w:r>
          </w:p>
        </w:tc>
      </w:tr>
      <w:tr w:rsidR="008F76F3" w:rsidRPr="001642AC" w14:paraId="72CA4F45" w14:textId="77777777" w:rsidTr="00F628D6">
        <w:tc>
          <w:tcPr>
            <w:tcW w:w="10201" w:type="dxa"/>
            <w:shd w:val="clear" w:color="auto" w:fill="F2F2F2" w:themeFill="background1" w:themeFillShade="F2"/>
          </w:tcPr>
          <w:p w14:paraId="7C55632A" w14:textId="77777777" w:rsidR="008F76F3" w:rsidRPr="001642AC" w:rsidRDefault="008F76F3" w:rsidP="0036555F">
            <w:pPr>
              <w:spacing w:line="276" w:lineRule="auto"/>
              <w:ind w:firstLine="0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Fundamentação</w:t>
            </w:r>
            <w:r w:rsidRPr="001642AC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: </w:t>
            </w:r>
            <w:r w:rsidRPr="001642AC">
              <w:rPr>
                <w:rFonts w:cs="Tahoma"/>
                <w:sz w:val="16"/>
                <w:szCs w:val="16"/>
              </w:rPr>
              <w:t>Posicionamento conclusivo sobre a adequação da contratação para o atendimento da necessidade a que se destina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(inciso XIII do § 1° do art. 18 da Lei 14.133/21); </w:t>
            </w:r>
          </w:p>
        </w:tc>
      </w:tr>
      <w:tr w:rsidR="008F76F3" w:rsidRPr="001642AC" w14:paraId="56CC54A4" w14:textId="77777777" w:rsidTr="00F628D6">
        <w:tc>
          <w:tcPr>
            <w:tcW w:w="10201" w:type="dxa"/>
          </w:tcPr>
          <w:p w14:paraId="5284B65A" w14:textId="38997284" w:rsidR="003D272C" w:rsidRDefault="003D272C" w:rsidP="003D272C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Com base na justificativa apresentada, descrição da necessidade, estimativa e requisitos dos itens, além da importância da realização da contratação para viabilizar</w:t>
            </w:r>
            <w:r>
              <w:rPr>
                <w:rFonts w:cs="Tahoma"/>
                <w:sz w:val="16"/>
                <w:szCs w:val="16"/>
              </w:rPr>
              <w:t xml:space="preserve"> a recuperação e/ou reestabelecimento da rua, visando garantir a segurança e o bem-estar dos munícipes e usuários que trafegam no trecho</w:t>
            </w:r>
            <w:r>
              <w:rPr>
                <w:rFonts w:cs="Tahoma"/>
                <w:sz w:val="16"/>
                <w:szCs w:val="16"/>
              </w:rPr>
              <w:t>. Conclui-se assim pela viabilidade da contratação.</w:t>
            </w:r>
          </w:p>
          <w:p w14:paraId="56500493" w14:textId="565DB6A7" w:rsidR="0036555F" w:rsidRPr="001642AC" w:rsidRDefault="0036555F" w:rsidP="001642AC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768E8C3C" w14:textId="76628858" w:rsidR="0036555F" w:rsidRPr="001642AC" w:rsidRDefault="0036555F" w:rsidP="001642AC">
      <w:pPr>
        <w:spacing w:after="0" w:line="276" w:lineRule="auto"/>
        <w:ind w:left="142" w:firstLine="0"/>
        <w:rPr>
          <w:rFonts w:cs="Tahoma"/>
          <w:b/>
          <w:color w:val="000000"/>
          <w:sz w:val="20"/>
          <w:szCs w:val="20"/>
        </w:rPr>
      </w:pPr>
      <w:r w:rsidRPr="001642AC">
        <w:rPr>
          <w:rFonts w:cs="Tahoma"/>
          <w:b/>
          <w:sz w:val="20"/>
          <w:szCs w:val="20"/>
        </w:rPr>
        <w:t xml:space="preserve">6 - JUSTIFICATIVA PARA NÃO CONTEMPLAÇÃO DOS DEMAIS ELEMENTOS PREVISTOS NO </w:t>
      </w:r>
      <w:r w:rsidRPr="001642AC">
        <w:rPr>
          <w:rFonts w:cs="Tahoma"/>
          <w:b/>
          <w:color w:val="000000"/>
          <w:sz w:val="20"/>
          <w:szCs w:val="20"/>
        </w:rPr>
        <w:t>§ 1º DO ART. 18 DA LEI FEDERAL Nº 14.133/2021:</w:t>
      </w:r>
    </w:p>
    <w:p w14:paraId="3D1599BF" w14:textId="1064F3FC" w:rsidR="0036555F" w:rsidRPr="003D272C" w:rsidRDefault="0036555F" w:rsidP="001642AC">
      <w:pPr>
        <w:spacing w:after="0" w:line="276" w:lineRule="auto"/>
        <w:ind w:left="142" w:firstLine="0"/>
        <w:rPr>
          <w:rFonts w:cs="Tahoma"/>
          <w:sz w:val="16"/>
          <w:szCs w:val="16"/>
        </w:rPr>
      </w:pPr>
      <w:r w:rsidRPr="003D272C">
        <w:rPr>
          <w:rFonts w:cs="Tahoma"/>
          <w:sz w:val="16"/>
          <w:szCs w:val="16"/>
        </w:rPr>
        <w:t>O presente estudo foi realizado com base no escopo específico, focando apenas nos aspectos mais relevantes</w:t>
      </w:r>
      <w:r w:rsidR="008D38D1" w:rsidRPr="003D272C">
        <w:rPr>
          <w:rFonts w:cs="Tahoma"/>
          <w:sz w:val="16"/>
          <w:szCs w:val="16"/>
        </w:rPr>
        <w:t xml:space="preserve"> e aplicáveis ao caso em questão.</w:t>
      </w:r>
    </w:p>
    <w:p w14:paraId="762D9FA7" w14:textId="70DF3A03" w:rsidR="008D38D1" w:rsidRPr="003D272C" w:rsidRDefault="008D38D1" w:rsidP="001642AC">
      <w:pPr>
        <w:spacing w:after="0" w:line="276" w:lineRule="auto"/>
        <w:ind w:left="142" w:firstLine="0"/>
        <w:rPr>
          <w:rFonts w:cs="Tahoma"/>
          <w:sz w:val="16"/>
          <w:szCs w:val="16"/>
        </w:rPr>
      </w:pPr>
      <w:r w:rsidRPr="003D272C">
        <w:rPr>
          <w:rFonts w:cs="Tahoma"/>
          <w:sz w:val="16"/>
          <w:szCs w:val="16"/>
        </w:rPr>
        <w:t xml:space="preserve">A não elaboração dos </w:t>
      </w:r>
      <w:r w:rsidR="0042204C" w:rsidRPr="003D272C">
        <w:rPr>
          <w:rFonts w:cs="Tahoma"/>
          <w:sz w:val="16"/>
          <w:szCs w:val="16"/>
        </w:rPr>
        <w:t xml:space="preserve">demais </w:t>
      </w:r>
      <w:r w:rsidRPr="003D272C">
        <w:rPr>
          <w:rFonts w:cs="Tahoma"/>
          <w:sz w:val="16"/>
          <w:szCs w:val="16"/>
        </w:rPr>
        <w:t xml:space="preserve">elementos do ETP </w:t>
      </w:r>
      <w:r w:rsidR="0042204C" w:rsidRPr="003D272C">
        <w:rPr>
          <w:rFonts w:cs="Tahoma"/>
          <w:sz w:val="16"/>
          <w:szCs w:val="16"/>
        </w:rPr>
        <w:t>deve-se a natureza desses itens e experiência acumulada em</w:t>
      </w:r>
      <w:r w:rsidR="003D272C" w:rsidRPr="003D272C">
        <w:rPr>
          <w:rFonts w:cs="Tahoma"/>
          <w:sz w:val="16"/>
          <w:szCs w:val="16"/>
        </w:rPr>
        <w:t xml:space="preserve"> realização de obras de reestabelecimento desse porte</w:t>
      </w:r>
      <w:r w:rsidR="0042204C" w:rsidRPr="003D272C">
        <w:rPr>
          <w:rFonts w:cs="Tahoma"/>
          <w:sz w:val="16"/>
          <w:szCs w:val="16"/>
        </w:rPr>
        <w:t xml:space="preserve">. </w:t>
      </w:r>
      <w:r w:rsidR="00936331" w:rsidRPr="003D272C">
        <w:rPr>
          <w:rFonts w:cs="Tahoma"/>
          <w:sz w:val="16"/>
          <w:szCs w:val="16"/>
        </w:rPr>
        <w:t xml:space="preserve">A </w:t>
      </w:r>
      <w:r w:rsidR="003D272C" w:rsidRPr="003D272C">
        <w:rPr>
          <w:rFonts w:cs="Tahoma"/>
          <w:sz w:val="16"/>
          <w:szCs w:val="16"/>
        </w:rPr>
        <w:t>contratação</w:t>
      </w:r>
      <w:r w:rsidR="0042204C" w:rsidRPr="003D272C">
        <w:rPr>
          <w:rFonts w:cs="Tahoma"/>
          <w:sz w:val="16"/>
          <w:szCs w:val="16"/>
        </w:rPr>
        <w:t xml:space="preserve"> em questão </w:t>
      </w:r>
      <w:r w:rsidR="00C72A6B" w:rsidRPr="003D272C">
        <w:rPr>
          <w:rFonts w:cs="Tahoma"/>
          <w:sz w:val="16"/>
          <w:szCs w:val="16"/>
        </w:rPr>
        <w:t xml:space="preserve">trata-se de </w:t>
      </w:r>
      <w:r w:rsidR="003D272C" w:rsidRPr="003D272C">
        <w:rPr>
          <w:rFonts w:cs="Tahoma"/>
          <w:sz w:val="16"/>
          <w:szCs w:val="16"/>
        </w:rPr>
        <w:t>obra e serviço comum de engenharia</w:t>
      </w:r>
      <w:r w:rsidR="00C72A6B" w:rsidRPr="003D272C">
        <w:rPr>
          <w:rFonts w:cs="Tahoma"/>
          <w:sz w:val="16"/>
          <w:szCs w:val="16"/>
        </w:rPr>
        <w:t>,</w:t>
      </w:r>
      <w:r w:rsidRPr="003D272C">
        <w:rPr>
          <w:rFonts w:cs="Tahoma"/>
          <w:sz w:val="16"/>
          <w:szCs w:val="16"/>
        </w:rPr>
        <w:t xml:space="preserve"> </w:t>
      </w:r>
      <w:r w:rsidR="00C72A6B" w:rsidRPr="003D272C">
        <w:rPr>
          <w:rFonts w:cs="Tahoma"/>
          <w:sz w:val="16"/>
          <w:szCs w:val="16"/>
        </w:rPr>
        <w:t>possuindo</w:t>
      </w:r>
      <w:r w:rsidR="00E0338A" w:rsidRPr="003D272C">
        <w:rPr>
          <w:rFonts w:cs="Tahoma"/>
          <w:sz w:val="16"/>
          <w:szCs w:val="16"/>
        </w:rPr>
        <w:t xml:space="preserve"> características e</w:t>
      </w:r>
      <w:r w:rsidRPr="003D272C">
        <w:rPr>
          <w:rFonts w:cs="Tahoma"/>
          <w:sz w:val="16"/>
          <w:szCs w:val="16"/>
        </w:rPr>
        <w:t xml:space="preserve"> especificações </w:t>
      </w:r>
      <w:r w:rsidR="0042204C" w:rsidRPr="003D272C">
        <w:rPr>
          <w:rFonts w:cs="Tahoma"/>
          <w:sz w:val="16"/>
          <w:szCs w:val="16"/>
        </w:rPr>
        <w:t xml:space="preserve">usuais de mercado e requisitos bem definidos. Devido </w:t>
      </w:r>
      <w:r w:rsidR="00936331" w:rsidRPr="003D272C">
        <w:rPr>
          <w:rFonts w:cs="Tahoma"/>
          <w:sz w:val="16"/>
          <w:szCs w:val="16"/>
        </w:rPr>
        <w:t xml:space="preserve">a </w:t>
      </w:r>
      <w:r w:rsidR="0042204C" w:rsidRPr="003D272C">
        <w:rPr>
          <w:rFonts w:cs="Tahoma"/>
          <w:sz w:val="16"/>
          <w:szCs w:val="16"/>
        </w:rPr>
        <w:t xml:space="preserve">essa </w:t>
      </w:r>
      <w:r w:rsidR="00C72A6B" w:rsidRPr="003D272C">
        <w:rPr>
          <w:rFonts w:cs="Tahoma"/>
          <w:sz w:val="16"/>
          <w:szCs w:val="16"/>
        </w:rPr>
        <w:t>natureza</w:t>
      </w:r>
      <w:r w:rsidR="0042204C" w:rsidRPr="003D272C">
        <w:rPr>
          <w:rFonts w:cs="Tahoma"/>
          <w:sz w:val="16"/>
          <w:szCs w:val="16"/>
        </w:rPr>
        <w:t>, não há necessidade de realizar um estudo técnico preliminar extenso, uma vez que a</w:t>
      </w:r>
      <w:r w:rsidR="00732700" w:rsidRPr="003D272C">
        <w:rPr>
          <w:rFonts w:cs="Tahoma"/>
          <w:sz w:val="16"/>
          <w:szCs w:val="16"/>
        </w:rPr>
        <w:t xml:space="preserve"> simplicidade d</w:t>
      </w:r>
      <w:r w:rsidR="006867EF" w:rsidRPr="003D272C">
        <w:rPr>
          <w:rFonts w:cs="Tahoma"/>
          <w:sz w:val="16"/>
          <w:szCs w:val="16"/>
        </w:rPr>
        <w:t xml:space="preserve">a aquisição não envolve complexidade técnica, o que permite uma decisão embasada sem a necessidade de um estudo </w:t>
      </w:r>
      <w:r w:rsidR="00672EF7" w:rsidRPr="003D272C">
        <w:rPr>
          <w:rFonts w:cs="Tahoma"/>
          <w:sz w:val="16"/>
          <w:szCs w:val="16"/>
        </w:rPr>
        <w:t>d</w:t>
      </w:r>
      <w:r w:rsidR="006867EF" w:rsidRPr="003D272C">
        <w:rPr>
          <w:rFonts w:cs="Tahoma"/>
          <w:sz w:val="16"/>
          <w:szCs w:val="16"/>
        </w:rPr>
        <w:t>etalhado.</w:t>
      </w:r>
    </w:p>
    <w:p w14:paraId="74B31FDE" w14:textId="3AB31055" w:rsidR="0042204C" w:rsidRPr="003D272C" w:rsidRDefault="0042204C" w:rsidP="001642AC">
      <w:pPr>
        <w:spacing w:after="0" w:line="276" w:lineRule="auto"/>
        <w:ind w:left="142" w:firstLine="0"/>
        <w:rPr>
          <w:rFonts w:cs="Tahoma"/>
          <w:sz w:val="16"/>
          <w:szCs w:val="16"/>
        </w:rPr>
      </w:pPr>
      <w:r w:rsidRPr="003D272C">
        <w:rPr>
          <w:rFonts w:cs="Tahoma"/>
          <w:sz w:val="16"/>
          <w:szCs w:val="16"/>
        </w:rPr>
        <w:t xml:space="preserve">Ademais, a Administração </w:t>
      </w:r>
      <w:r w:rsidR="003D272C" w:rsidRPr="003D272C">
        <w:rPr>
          <w:rFonts w:cs="Tahoma"/>
          <w:sz w:val="16"/>
          <w:szCs w:val="16"/>
        </w:rPr>
        <w:t>realiza seguidamente obras similares, possuindo experiência na especificação técnica desse escopo</w:t>
      </w:r>
      <w:r w:rsidRPr="003D272C">
        <w:rPr>
          <w:rFonts w:cs="Tahoma"/>
          <w:sz w:val="16"/>
          <w:szCs w:val="16"/>
        </w:rPr>
        <w:t>. Isso significa que já há um conhecimento prévio dos requisitos e elementos necessários, eliminando a necessidade de um detalhamento pormenorizad</w:t>
      </w:r>
      <w:r w:rsidR="00C72A6B" w:rsidRPr="003D272C">
        <w:rPr>
          <w:rFonts w:cs="Tahoma"/>
          <w:sz w:val="16"/>
          <w:szCs w:val="16"/>
        </w:rPr>
        <w:t>o</w:t>
      </w:r>
      <w:r w:rsidRPr="003D272C">
        <w:rPr>
          <w:rFonts w:cs="Tahoma"/>
          <w:sz w:val="16"/>
          <w:szCs w:val="16"/>
        </w:rPr>
        <w:t xml:space="preserve"> a cada </w:t>
      </w:r>
      <w:r w:rsidR="003D272C" w:rsidRPr="003D272C">
        <w:rPr>
          <w:rFonts w:cs="Tahoma"/>
          <w:sz w:val="16"/>
          <w:szCs w:val="16"/>
        </w:rPr>
        <w:t>contratação</w:t>
      </w:r>
      <w:r w:rsidRPr="003D272C">
        <w:rPr>
          <w:rFonts w:cs="Tahoma"/>
          <w:sz w:val="16"/>
          <w:szCs w:val="16"/>
        </w:rPr>
        <w:t>.</w:t>
      </w:r>
    </w:p>
    <w:p w14:paraId="09AC7156" w14:textId="77777777" w:rsidR="008D38D1" w:rsidRPr="001642AC" w:rsidRDefault="008D38D1" w:rsidP="0036555F">
      <w:pPr>
        <w:spacing w:after="0" w:line="276" w:lineRule="auto"/>
        <w:ind w:firstLine="0"/>
        <w:rPr>
          <w:rFonts w:cs="Tahoma"/>
          <w:sz w:val="20"/>
          <w:szCs w:val="20"/>
        </w:rPr>
      </w:pPr>
    </w:p>
    <w:p w14:paraId="3440F16E" w14:textId="5E68EBEA" w:rsidR="008F76F3" w:rsidRPr="00512407" w:rsidRDefault="008F76F3" w:rsidP="008F76F3">
      <w:pPr>
        <w:spacing w:after="0" w:line="276" w:lineRule="auto"/>
        <w:jc w:val="right"/>
        <w:rPr>
          <w:rFonts w:cs="Tahoma"/>
          <w:sz w:val="16"/>
          <w:szCs w:val="16"/>
        </w:rPr>
      </w:pPr>
      <w:r w:rsidRPr="00512407">
        <w:rPr>
          <w:rFonts w:cs="Tahoma"/>
          <w:sz w:val="16"/>
          <w:szCs w:val="16"/>
        </w:rPr>
        <w:t xml:space="preserve">Imigrante, </w:t>
      </w:r>
      <w:r w:rsidR="003D272C">
        <w:rPr>
          <w:rFonts w:cs="Tahoma"/>
          <w:sz w:val="16"/>
          <w:szCs w:val="16"/>
        </w:rPr>
        <w:t>15</w:t>
      </w:r>
      <w:r w:rsidRPr="00512407">
        <w:rPr>
          <w:rFonts w:cs="Tahoma"/>
          <w:sz w:val="16"/>
          <w:szCs w:val="16"/>
        </w:rPr>
        <w:t xml:space="preserve"> de </w:t>
      </w:r>
      <w:r w:rsidR="003D272C">
        <w:rPr>
          <w:rFonts w:cs="Tahoma"/>
          <w:sz w:val="16"/>
          <w:szCs w:val="16"/>
        </w:rPr>
        <w:t>janeiro</w:t>
      </w:r>
      <w:r w:rsidRPr="00512407">
        <w:rPr>
          <w:rFonts w:cs="Tahoma"/>
          <w:sz w:val="16"/>
          <w:szCs w:val="16"/>
        </w:rPr>
        <w:t xml:space="preserve"> de 202</w:t>
      </w:r>
      <w:r w:rsidR="003D272C">
        <w:rPr>
          <w:rFonts w:cs="Tahoma"/>
          <w:sz w:val="16"/>
          <w:szCs w:val="16"/>
        </w:rPr>
        <w:t>5</w:t>
      </w:r>
      <w:r w:rsidR="00F628D6" w:rsidRPr="00512407">
        <w:rPr>
          <w:rFonts w:cs="Tahoma"/>
          <w:sz w:val="16"/>
          <w:szCs w:val="16"/>
        </w:rPr>
        <w:t>.</w:t>
      </w:r>
    </w:p>
    <w:p w14:paraId="3A7AD444" w14:textId="77777777" w:rsidR="008F76F3" w:rsidRPr="001642AC" w:rsidRDefault="008F76F3" w:rsidP="008F76F3">
      <w:pPr>
        <w:spacing w:after="0" w:line="276" w:lineRule="auto"/>
        <w:jc w:val="right"/>
        <w:rPr>
          <w:rFonts w:cs="Tahoma"/>
          <w:szCs w:val="18"/>
        </w:rPr>
      </w:pPr>
    </w:p>
    <w:p w14:paraId="36E2222C" w14:textId="77777777" w:rsidR="00F84BAF" w:rsidRDefault="00F84BAF" w:rsidP="003D272C">
      <w:pPr>
        <w:spacing w:after="0" w:line="276" w:lineRule="auto"/>
        <w:ind w:firstLine="0"/>
        <w:rPr>
          <w:rFonts w:cs="Tahoma"/>
          <w:szCs w:val="18"/>
        </w:rPr>
      </w:pPr>
    </w:p>
    <w:p w14:paraId="7026774D" w14:textId="77777777" w:rsidR="003D272C" w:rsidRDefault="003D272C" w:rsidP="003D272C">
      <w:pPr>
        <w:spacing w:after="0" w:line="276" w:lineRule="auto"/>
        <w:ind w:firstLine="0"/>
        <w:rPr>
          <w:rFonts w:cs="Tahoma"/>
          <w:szCs w:val="18"/>
        </w:rPr>
      </w:pPr>
    </w:p>
    <w:p w14:paraId="13657562" w14:textId="77777777" w:rsidR="003D272C" w:rsidRPr="001642AC" w:rsidRDefault="003D272C" w:rsidP="003D272C">
      <w:pPr>
        <w:spacing w:after="0" w:line="276" w:lineRule="auto"/>
        <w:ind w:firstLine="0"/>
        <w:rPr>
          <w:rFonts w:cs="Tahoma"/>
          <w:szCs w:val="18"/>
        </w:rPr>
      </w:pPr>
    </w:p>
    <w:tbl>
      <w:tblPr>
        <w:tblpPr w:leftFromText="141" w:rightFromText="141" w:vertAnchor="text" w:horzAnchor="margin" w:tblpXSpec="center" w:tblpY="83"/>
        <w:tblW w:w="0" w:type="auto"/>
        <w:tblLook w:val="04A0" w:firstRow="1" w:lastRow="0" w:firstColumn="1" w:lastColumn="0" w:noHBand="0" w:noVBand="1"/>
      </w:tblPr>
      <w:tblGrid>
        <w:gridCol w:w="4678"/>
        <w:gridCol w:w="992"/>
      </w:tblGrid>
      <w:tr w:rsidR="003D272C" w14:paraId="7624A7BE" w14:textId="77777777" w:rsidTr="00FD771F"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5727F519" w14:textId="77777777" w:rsidR="003D272C" w:rsidRDefault="003D272C" w:rsidP="00FD771F">
            <w:pPr>
              <w:tabs>
                <w:tab w:val="left" w:pos="1935"/>
              </w:tabs>
              <w:ind w:left="-142" w:firstLine="0"/>
            </w:pPr>
          </w:p>
        </w:tc>
        <w:tc>
          <w:tcPr>
            <w:tcW w:w="992" w:type="dxa"/>
          </w:tcPr>
          <w:p w14:paraId="32F2B233" w14:textId="77777777" w:rsidR="003D272C" w:rsidRDefault="003D272C" w:rsidP="00FD771F">
            <w:pPr>
              <w:tabs>
                <w:tab w:val="left" w:pos="1935"/>
              </w:tabs>
              <w:ind w:left="-142" w:firstLine="0"/>
            </w:pPr>
          </w:p>
        </w:tc>
      </w:tr>
      <w:tr w:rsidR="003D272C" w14:paraId="1075E236" w14:textId="77777777" w:rsidTr="00FD771F"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441EE7" w14:textId="4D39B86E" w:rsidR="003D272C" w:rsidRPr="00FD56DE" w:rsidRDefault="003D272C" w:rsidP="00FD771F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Clovis </w:t>
            </w:r>
            <w:proofErr w:type="spellStart"/>
            <w:r>
              <w:rPr>
                <w:b/>
                <w:bCs/>
              </w:rPr>
              <w:t>Spellmeier</w:t>
            </w:r>
            <w:proofErr w:type="spellEnd"/>
          </w:p>
        </w:tc>
        <w:tc>
          <w:tcPr>
            <w:tcW w:w="992" w:type="dxa"/>
          </w:tcPr>
          <w:p w14:paraId="0B627FEE" w14:textId="77777777" w:rsidR="003D272C" w:rsidRDefault="003D272C" w:rsidP="00FD771F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</w:p>
        </w:tc>
      </w:tr>
      <w:tr w:rsidR="003D272C" w14:paraId="45F18169" w14:textId="77777777" w:rsidTr="00FD771F">
        <w:tc>
          <w:tcPr>
            <w:tcW w:w="4678" w:type="dxa"/>
            <w:shd w:val="clear" w:color="auto" w:fill="auto"/>
            <w:vAlign w:val="center"/>
          </w:tcPr>
          <w:p w14:paraId="5167D682" w14:textId="5793A608" w:rsidR="003D272C" w:rsidRDefault="003D272C" w:rsidP="003D272C">
            <w:pPr>
              <w:tabs>
                <w:tab w:val="left" w:pos="1935"/>
              </w:tabs>
              <w:ind w:firstLine="0"/>
              <w:jc w:val="center"/>
            </w:pPr>
            <w:r>
              <w:t>Secretário Municipal de Obras e Mobilidade Urbana</w:t>
            </w:r>
          </w:p>
          <w:p w14:paraId="1A67D88C" w14:textId="73E948CA" w:rsidR="003D272C" w:rsidRDefault="003D272C" w:rsidP="003D272C">
            <w:pPr>
              <w:tabs>
                <w:tab w:val="left" w:pos="1935"/>
              </w:tabs>
              <w:ind w:firstLine="0"/>
              <w:jc w:val="center"/>
            </w:pPr>
            <w:r>
              <w:t>SMOMU</w:t>
            </w:r>
          </w:p>
        </w:tc>
        <w:tc>
          <w:tcPr>
            <w:tcW w:w="992" w:type="dxa"/>
          </w:tcPr>
          <w:p w14:paraId="1CEB3E51" w14:textId="77777777" w:rsidR="003D272C" w:rsidRDefault="003D272C" w:rsidP="00FD771F">
            <w:pPr>
              <w:tabs>
                <w:tab w:val="left" w:pos="1935"/>
              </w:tabs>
              <w:ind w:firstLine="0"/>
              <w:jc w:val="center"/>
            </w:pPr>
          </w:p>
        </w:tc>
      </w:tr>
    </w:tbl>
    <w:p w14:paraId="2B89E342" w14:textId="7B17B281" w:rsidR="006A15E4" w:rsidRPr="00512407" w:rsidRDefault="006A15E4" w:rsidP="008F76F3">
      <w:pPr>
        <w:spacing w:after="0"/>
        <w:jc w:val="center"/>
        <w:rPr>
          <w:rFonts w:ascii="Arial" w:hAnsi="Arial" w:cs="Arial"/>
          <w:sz w:val="16"/>
          <w:szCs w:val="16"/>
        </w:rPr>
      </w:pPr>
    </w:p>
    <w:sectPr w:rsidR="006A15E4" w:rsidRPr="00512407" w:rsidSect="001642AC">
      <w:headerReference w:type="default" r:id="rId8"/>
      <w:footerReference w:type="default" r:id="rId9"/>
      <w:headerReference w:type="first" r:id="rId10"/>
      <w:pgSz w:w="11906" w:h="16838" w:code="9"/>
      <w:pgMar w:top="993" w:right="851" w:bottom="0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9209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116"/>
      <w:gridCol w:w="4816"/>
      <w:gridCol w:w="3277"/>
    </w:tblGrid>
    <w:tr w:rsidR="006B1672" w14:paraId="0013C613" w14:textId="77777777" w:rsidTr="001642AC">
      <w:trPr>
        <w:trHeight w:val="930"/>
      </w:trPr>
      <w:tc>
        <w:tcPr>
          <w:tcW w:w="846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17104486" name="Imagem 171044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0B1A73F4" w:rsidR="006B1672" w:rsidRDefault="006B1672" w:rsidP="00D15024">
          <w:pPr>
            <w:pStyle w:val="Cabealho"/>
            <w:ind w:firstLine="0"/>
          </w:pP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1642AC">
    <w:pPr>
      <w:pStyle w:val="Cabealho"/>
      <w:ind w:firstLine="0"/>
    </w:pPr>
  </w:p>
  <w:tbl>
    <w:tblPr>
      <w:tblStyle w:val="Tabelacomgrade"/>
      <w:tblW w:w="9446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129"/>
      <w:gridCol w:w="4936"/>
      <w:gridCol w:w="3381"/>
    </w:tblGrid>
    <w:tr w:rsidR="006B1672" w14:paraId="435B65B7" w14:textId="77777777" w:rsidTr="001642AC">
      <w:trPr>
        <w:trHeight w:val="930"/>
      </w:trPr>
      <w:tc>
        <w:tcPr>
          <w:tcW w:w="1129" w:type="dxa"/>
          <w:vAlign w:val="center"/>
        </w:tcPr>
        <w:p w14:paraId="709E24BC" w14:textId="77777777" w:rsidR="006B1672" w:rsidRDefault="006B1672" w:rsidP="001642AC">
          <w:pPr>
            <w:pStyle w:val="Cabealho"/>
            <w:ind w:right="-68" w:firstLine="0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2047296119" name="Imagem 20472961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36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381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456683051">
    <w:abstractNumId w:val="7"/>
  </w:num>
  <w:num w:numId="2" w16cid:durableId="1827017918">
    <w:abstractNumId w:val="9"/>
  </w:num>
  <w:num w:numId="3" w16cid:durableId="365834670">
    <w:abstractNumId w:val="8"/>
  </w:num>
  <w:num w:numId="4" w16cid:durableId="393818448">
    <w:abstractNumId w:val="2"/>
  </w:num>
  <w:num w:numId="5" w16cid:durableId="1969356855">
    <w:abstractNumId w:val="0"/>
  </w:num>
  <w:num w:numId="6" w16cid:durableId="57479523">
    <w:abstractNumId w:val="13"/>
  </w:num>
  <w:num w:numId="7" w16cid:durableId="1516384761">
    <w:abstractNumId w:val="17"/>
  </w:num>
  <w:num w:numId="8" w16cid:durableId="201409191">
    <w:abstractNumId w:val="14"/>
  </w:num>
  <w:num w:numId="9" w16cid:durableId="2039770276">
    <w:abstractNumId w:val="18"/>
  </w:num>
  <w:num w:numId="10" w16cid:durableId="1292126127">
    <w:abstractNumId w:val="11"/>
  </w:num>
  <w:num w:numId="11" w16cid:durableId="1016468902">
    <w:abstractNumId w:val="16"/>
  </w:num>
  <w:num w:numId="12" w16cid:durableId="1544824779">
    <w:abstractNumId w:val="5"/>
  </w:num>
  <w:num w:numId="13" w16cid:durableId="1102266324">
    <w:abstractNumId w:val="3"/>
  </w:num>
  <w:num w:numId="14" w16cid:durableId="1343821532">
    <w:abstractNumId w:val="15"/>
  </w:num>
  <w:num w:numId="15" w16cid:durableId="1680963711">
    <w:abstractNumId w:val="12"/>
  </w:num>
  <w:num w:numId="16" w16cid:durableId="1335886358">
    <w:abstractNumId w:val="4"/>
  </w:num>
  <w:num w:numId="17" w16cid:durableId="1655136954">
    <w:abstractNumId w:val="6"/>
  </w:num>
  <w:num w:numId="18" w16cid:durableId="1043091292">
    <w:abstractNumId w:val="10"/>
  </w:num>
  <w:num w:numId="19" w16cid:durableId="106071480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51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5308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FAD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2764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42AC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44B3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B63D8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21B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1BB0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6D13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55F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272C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04C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87971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2407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27977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3F33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2EF7"/>
    <w:rsid w:val="0067348D"/>
    <w:rsid w:val="00675D7D"/>
    <w:rsid w:val="00682663"/>
    <w:rsid w:val="006867EF"/>
    <w:rsid w:val="00690058"/>
    <w:rsid w:val="00690134"/>
    <w:rsid w:val="00692556"/>
    <w:rsid w:val="00692A0D"/>
    <w:rsid w:val="00693375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2700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E7B24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38D1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8F76F3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633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22C1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227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20A"/>
    <w:rsid w:val="00A70FED"/>
    <w:rsid w:val="00A71AA0"/>
    <w:rsid w:val="00A71C3B"/>
    <w:rsid w:val="00A73522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E7B6D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2A6B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4F1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CF7FB5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2C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7E6"/>
    <w:rsid w:val="00D74853"/>
    <w:rsid w:val="00D74E04"/>
    <w:rsid w:val="00D75D84"/>
    <w:rsid w:val="00D76E6B"/>
    <w:rsid w:val="00D7777E"/>
    <w:rsid w:val="00D80523"/>
    <w:rsid w:val="00D84701"/>
    <w:rsid w:val="00D850D7"/>
    <w:rsid w:val="00D85896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97A5D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DF7A47"/>
    <w:rsid w:val="00E01A73"/>
    <w:rsid w:val="00E02030"/>
    <w:rsid w:val="00E02521"/>
    <w:rsid w:val="00E02B62"/>
    <w:rsid w:val="00E0338A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234C1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8D6"/>
    <w:rsid w:val="00F62A49"/>
    <w:rsid w:val="00F62B09"/>
    <w:rsid w:val="00F64D99"/>
    <w:rsid w:val="00F67726"/>
    <w:rsid w:val="00F67B2E"/>
    <w:rsid w:val="00F67D54"/>
    <w:rsid w:val="00F70236"/>
    <w:rsid w:val="00F71861"/>
    <w:rsid w:val="00F7188C"/>
    <w:rsid w:val="00F71B0D"/>
    <w:rsid w:val="00F734E4"/>
    <w:rsid w:val="00F73D5C"/>
    <w:rsid w:val="00F74D60"/>
    <w:rsid w:val="00F77E58"/>
    <w:rsid w:val="00F809C4"/>
    <w:rsid w:val="00F8322E"/>
    <w:rsid w:val="00F84BAF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6B22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90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3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Default">
    <w:name w:val="Default"/>
    <w:rsid w:val="008F76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3CF16-EBC0-437D-BBEF-4CED5FB78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671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17</cp:revision>
  <cp:lastPrinted>2022-12-15T19:17:00Z</cp:lastPrinted>
  <dcterms:created xsi:type="dcterms:W3CDTF">2024-04-04T11:38:00Z</dcterms:created>
  <dcterms:modified xsi:type="dcterms:W3CDTF">2025-01-16T12:43:00Z</dcterms:modified>
</cp:coreProperties>
</file>